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Ban on Short-term rentals</w:t>
      </w:r>
    </w:p>
    <w:p>
      <w:pPr>
        <w:pStyle w:val="Body"/>
        <w:bidi w:val="0"/>
      </w:pPr>
      <w:r>
        <w:rPr>
          <w:rtl w:val="0"/>
        </w:rPr>
        <w:t>Commodore Condominium Association</w:t>
      </w:r>
    </w:p>
    <w:p>
      <w:pPr>
        <w:pStyle w:val="Body"/>
        <w:bidi w:val="0"/>
      </w:pPr>
      <w:r>
        <w:rPr>
          <w:rtl w:val="0"/>
        </w:rPr>
        <w:t>Public Offering Statement</w:t>
      </w:r>
    </w:p>
    <w:p>
      <w:pPr>
        <w:pStyle w:val="Body"/>
        <w:bidi w:val="0"/>
      </w:pPr>
    </w:p>
    <w:p>
      <w:pPr>
        <w:pStyle w:val="Body"/>
        <w:bidi w:val="0"/>
      </w:pPr>
    </w:p>
    <w:p>
      <w:pPr>
        <w:pStyle w:val="Body"/>
        <w:bidi w:val="0"/>
      </w:pPr>
      <w:r>
        <w:rPr>
          <w:rtl w:val="0"/>
        </w:rPr>
        <w:t xml:space="preserve">The Commodore Condominium Association's governing documents filed with the Louisiana Secretary of State prohibit any form of short-term rental. These provisions are strictly enforced. The fines are substantial and include all legal fees. </w:t>
      </w:r>
    </w:p>
    <w:p>
      <w:pPr>
        <w:pStyle w:val="Body"/>
        <w:bidi w:val="0"/>
      </w:pPr>
    </w:p>
    <w:p>
      <w:pPr>
        <w:pStyle w:val="Body"/>
        <w:rPr>
          <w:b w:val="1"/>
          <w:bCs w:val="1"/>
        </w:rPr>
      </w:pPr>
      <w:r>
        <w:rPr>
          <w:b w:val="1"/>
          <w:bCs w:val="1"/>
          <w:rtl w:val="0"/>
          <w:lang w:val="en-US"/>
        </w:rPr>
        <w:t>PUBLIC OFFERING STATEMENT</w:t>
      </w:r>
    </w:p>
    <w:p>
      <w:pPr>
        <w:pStyle w:val="Body"/>
        <w:rPr>
          <w:b w:val="1"/>
          <w:bCs w:val="1"/>
        </w:rPr>
      </w:pPr>
    </w:p>
    <w:p>
      <w:pPr>
        <w:pStyle w:val="Body"/>
        <w:bidi w:val="0"/>
      </w:pPr>
      <w:r>
        <w:rPr>
          <w:u w:val="single"/>
          <w:rtl w:val="0"/>
          <w:lang w:val="en-US"/>
        </w:rPr>
        <w:t>ARTICLE IV. SUMMARY OF SIGNIFICANT FEATURES OF THE DECLARATION AND OTHER DOCUMENTS</w:t>
      </w:r>
      <w:r>
        <w:rPr>
          <w:rtl w:val="0"/>
        </w:rPr>
        <w:t xml:space="preserve"> </w:t>
      </w:r>
    </w:p>
    <w:p>
      <w:pPr>
        <w:pStyle w:val="Body"/>
        <w:bidi w:val="0"/>
      </w:pPr>
    </w:p>
    <w:p>
      <w:pPr>
        <w:pStyle w:val="Body"/>
        <w:bidi w:val="0"/>
      </w:pPr>
      <w:r>
        <w:rPr>
          <w:rtl w:val="0"/>
        </w:rPr>
        <w:t xml:space="preserve">Section 10. </w:t>
      </w:r>
      <w:r>
        <w:rPr>
          <w:u w:val="single"/>
          <w:rtl w:val="0"/>
          <w:lang w:val="en-US"/>
        </w:rPr>
        <w:t>Use and Occupancy Restrictions</w:t>
      </w:r>
      <w:r>
        <w:rPr>
          <w:rtl w:val="0"/>
        </w:rPr>
        <w:t>.</w:t>
      </w:r>
    </w:p>
    <w:p>
      <w:pPr>
        <w:pStyle w:val="Body"/>
        <w:bidi w:val="0"/>
      </w:pPr>
      <w:r>
        <w:rPr>
          <w:rtl w:val="0"/>
        </w:rPr>
        <w:t>Except as provided herein, the Units are restricted for the use of RESIDENTIAL PURPOSES ONLY, except that professional and quasi-professional individuals may use their Units as ancillary or secondary facility to an office established elsewhere so long as their principal use of the Unit is for residential purposes. The Unit Office may be used by the Declarant, its successors, assigns of transferees for general office purposes only.</w:t>
      </w:r>
    </w:p>
    <w:p>
      <w:pPr>
        <w:pStyle w:val="Body"/>
        <w:bidi w:val="0"/>
      </w:pPr>
    </w:p>
    <w:p>
      <w:pPr>
        <w:pStyle w:val="Body"/>
        <w:bidi w:val="0"/>
      </w:pPr>
      <w:r>
        <w:rPr>
          <w:b w:val="1"/>
          <w:bCs w:val="1"/>
          <w:rtl w:val="0"/>
          <w:lang w:val="en-US"/>
        </w:rPr>
        <w:t>It is strictly prohibited that any Unit Owner or tenant (pursuant to a duly authorized and approved lease) use his/hers/its Unit for any bed and breakfast, guest house, hotel or transient purpose in which said party receives payment or anything of value for said use.</w:t>
      </w:r>
      <w:r>
        <w:rPr>
          <w:rtl w:val="0"/>
        </w:rPr>
        <w:t xml:space="preserve"> </w:t>
      </w:r>
      <w:r>
        <w:rPr>
          <w:b w:val="1"/>
          <w:bCs w:val="1"/>
          <w:rtl w:val="0"/>
          <w:lang w:val="en-US"/>
        </w:rPr>
        <w:t>Anyone breaching this provision, after notice and a hearing before the Board, shall be liable to the Association for all amounts received or the value received, costs, expenses and legal fees, all of which shall be subject to the imposition of a lien as provided for in Article VII</w:t>
      </w:r>
      <w:r>
        <w:rPr>
          <w:rtl w:val="0"/>
        </w:rPr>
        <w:t>. In addition to the above, the Association shall be entitled to injunctive relief against any violating party.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