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color w:val="454545"/>
          <w:sz w:val="34"/>
          <w:szCs w:val="34"/>
          <w:rtl w:val="0"/>
        </w:rPr>
      </w:pPr>
      <w:r>
        <w:rPr>
          <w:color w:val="454545"/>
          <w:sz w:val="45"/>
          <w:szCs w:val="45"/>
          <w:rtl w:val="0"/>
          <w:lang w:val="de-DE"/>
        </w:rPr>
        <w:t>DECLARATION</w:t>
      </w:r>
    </w:p>
    <w:p>
      <w:pPr>
        <w:pStyle w:val="Default"/>
        <w:bidi w:val="0"/>
        <w:ind w:left="0" w:right="0" w:firstLine="0"/>
        <w:jc w:val="left"/>
        <w:rPr>
          <w:color w:val="454545"/>
          <w:sz w:val="34"/>
          <w:szCs w:val="34"/>
          <w:rtl w:val="0"/>
        </w:rPr>
      </w:pPr>
      <w:r>
        <w:rPr>
          <w:color w:val="454545"/>
          <w:sz w:val="45"/>
          <w:szCs w:val="45"/>
          <w:rtl w:val="0"/>
          <w:lang w:val="de-DE"/>
        </w:rPr>
        <w:t>ARTICLE VII. USE RESTRICTIONS</w:t>
      </w:r>
    </w:p>
    <w:p>
      <w:pPr>
        <w:pStyle w:val="Default"/>
        <w:bidi w:val="0"/>
        <w:ind w:left="0" w:right="0" w:firstLine="0"/>
        <w:jc w:val="left"/>
        <w:rPr>
          <w:color w:val="454545"/>
          <w:sz w:val="34"/>
          <w:szCs w:val="34"/>
          <w:rtl w:val="0"/>
        </w:rPr>
      </w:pPr>
      <w:r>
        <w:rPr>
          <w:color w:val="454545"/>
          <w:sz w:val="45"/>
          <w:szCs w:val="45"/>
          <w:rtl w:val="0"/>
          <w:lang w:val="en-US"/>
        </w:rPr>
        <w:t>In order to provide for the congenial occupation of the Building and for the protection of the values of each Unit, the use of Condominium Property shall be in accordance with the following provisions</w:t>
      </w:r>
    </w:p>
    <w:p>
      <w:pPr>
        <w:pStyle w:val="Default"/>
        <w:bidi w:val="0"/>
        <w:ind w:left="0" w:right="0" w:firstLine="0"/>
        <w:jc w:val="left"/>
        <w:rPr>
          <w:color w:val="454545"/>
          <w:sz w:val="34"/>
          <w:szCs w:val="34"/>
          <w:rtl w:val="0"/>
        </w:rPr>
      </w:pPr>
    </w:p>
    <w:p>
      <w:pPr>
        <w:pStyle w:val="Default"/>
        <w:bidi w:val="0"/>
        <w:ind w:left="0" w:right="0" w:firstLine="0"/>
        <w:jc w:val="left"/>
        <w:rPr>
          <w:color w:val="313131"/>
          <w:sz w:val="32"/>
          <w:szCs w:val="32"/>
          <w:rtl w:val="0"/>
        </w:rPr>
      </w:pPr>
      <w:r>
        <w:rPr>
          <w:color w:val="313131"/>
          <w:sz w:val="43"/>
          <w:szCs w:val="43"/>
          <w:rtl w:val="0"/>
          <w:lang w:val="en-US"/>
        </w:rPr>
        <w:t>CCA RULES &amp; REGULATIONS</w:t>
      </w:r>
    </w:p>
    <w:p>
      <w:pPr>
        <w:pStyle w:val="Default"/>
        <w:bidi w:val="0"/>
        <w:ind w:left="0" w:right="0" w:firstLine="0"/>
        <w:jc w:val="left"/>
        <w:rPr>
          <w:rtl w:val="0"/>
        </w:rPr>
      </w:pPr>
      <w:r>
        <w:rPr>
          <w:color w:val="313131"/>
          <w:sz w:val="43"/>
          <w:szCs w:val="43"/>
          <w:rtl w:val="0"/>
          <w:lang w:val="en-US"/>
        </w:rPr>
        <w:tab/>
        <w:t>#22. Unit Owners shall be held responsible for the actions of their tenants, employees, agents, guests, clients or assigns.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