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80" w:lineRule="atLeast"/>
        <w:ind w:left="0" w:right="0" w:firstLine="0"/>
        <w:jc w:val="left"/>
        <w:rPr>
          <w:color w:val="454545"/>
          <w:sz w:val="34"/>
          <w:szCs w:val="34"/>
          <w:rtl w:val="0"/>
        </w:rPr>
      </w:pPr>
      <w:r>
        <w:rPr>
          <w:color w:val="454545"/>
          <w:sz w:val="34"/>
          <w:szCs w:val="34"/>
          <w:rtl w:val="0"/>
          <w:lang w:val="en-US"/>
        </w:rPr>
        <w:t>Bylaws, Rules and Regulations particularly pertinent to tenants:</w:t>
      </w:r>
    </w:p>
    <w:p>
      <w:pPr>
        <w:pStyle w:val="Default"/>
        <w:bidi w:val="0"/>
        <w:spacing w:line="480" w:lineRule="atLeast"/>
        <w:ind w:left="0" w:right="0" w:firstLine="0"/>
        <w:jc w:val="left"/>
        <w:rPr>
          <w:color w:val="454545"/>
          <w:sz w:val="34"/>
          <w:szCs w:val="34"/>
          <w:rtl w:val="0"/>
        </w:rPr>
      </w:pPr>
      <w:r>
        <w:rPr>
          <w:color w:val="454545"/>
          <w:sz w:val="34"/>
          <w:szCs w:val="34"/>
          <w:rtl w:val="0"/>
          <w:lang w:val="fr-FR"/>
        </w:rPr>
        <w:t>Nuisance:</w:t>
      </w:r>
    </w:p>
    <w:p>
      <w:pPr>
        <w:pStyle w:val="Default"/>
        <w:bidi w:val="0"/>
        <w:spacing w:line="480" w:lineRule="atLeast"/>
        <w:ind w:left="0" w:right="0" w:firstLine="0"/>
        <w:jc w:val="left"/>
        <w:rPr>
          <w:color w:val="454545"/>
          <w:sz w:val="34"/>
          <w:szCs w:val="34"/>
          <w:rtl w:val="0"/>
        </w:rPr>
      </w:pPr>
      <w:r>
        <w:rPr>
          <w:color w:val="454545"/>
          <w:sz w:val="34"/>
          <w:szCs w:val="34"/>
          <w:rtl w:val="0"/>
          <w:lang w:val="de-DE"/>
        </w:rPr>
        <w:t>ACT OF DECLARATION</w:t>
      </w:r>
    </w:p>
    <w:p>
      <w:pPr>
        <w:pStyle w:val="Default"/>
        <w:bidi w:val="0"/>
        <w:spacing w:line="480" w:lineRule="atLeast"/>
        <w:ind w:left="0" w:right="0" w:firstLine="0"/>
        <w:jc w:val="left"/>
        <w:rPr>
          <w:color w:val="454545"/>
          <w:sz w:val="34"/>
          <w:szCs w:val="34"/>
          <w:rtl w:val="0"/>
        </w:rPr>
      </w:pPr>
      <w:r>
        <w:rPr>
          <w:color w:val="454545"/>
          <w:sz w:val="34"/>
          <w:szCs w:val="34"/>
          <w:rtl w:val="0"/>
          <w:lang w:val="de-DE"/>
        </w:rPr>
        <w:t>ARTICLE VII USE RESTRICTIONS</w:t>
      </w:r>
    </w:p>
    <w:p>
      <w:pPr>
        <w:pStyle w:val="Default"/>
        <w:bidi w:val="0"/>
        <w:spacing w:line="480" w:lineRule="atLeast"/>
        <w:ind w:left="0" w:right="0" w:firstLine="0"/>
        <w:jc w:val="left"/>
        <w:rPr>
          <w:rtl w:val="0"/>
        </w:rPr>
      </w:pPr>
      <w:r>
        <w:rPr>
          <w:color w:val="454545"/>
          <w:sz w:val="34"/>
          <w:szCs w:val="34"/>
          <w:rtl w:val="0"/>
          <w:lang w:val="en-US"/>
        </w:rPr>
        <w:t>3. Nuisances: No nuisances shall be allowed on the Condominium Property nor shall any use or practice be allowed which is a source or annoyance to residents or which interferes with the peaceful possession and proper use of the Condominium Property by its residents or increases the rate of insurance costs or maintenance of the Condominium Property.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